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49986" w14:textId="2ADB7073" w:rsidR="001F6236" w:rsidRDefault="0080613B" w:rsidP="00132C4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2B9E5" wp14:editId="59A7DD64">
                <wp:simplePos x="0" y="0"/>
                <wp:positionH relativeFrom="margin">
                  <wp:posOffset>4316095</wp:posOffset>
                </wp:positionH>
                <wp:positionV relativeFrom="paragraph">
                  <wp:posOffset>-446405</wp:posOffset>
                </wp:positionV>
                <wp:extent cx="2076450" cy="314325"/>
                <wp:effectExtent l="0" t="0" r="19050" b="28575"/>
                <wp:wrapNone/>
                <wp:docPr id="8492930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4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E60F6" w14:textId="6F47B5FF" w:rsidR="0080613B" w:rsidRPr="0080613B" w:rsidRDefault="007172D5" w:rsidP="008061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CODIGO PROCESO: </w:t>
                            </w:r>
                            <w:r w:rsidR="0080613B" w:rsidRPr="008061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CB-CP-</w:t>
                            </w:r>
                            <w:r w:rsidR="00DA6DC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55</w:t>
                            </w:r>
                            <w:r w:rsidR="0080613B" w:rsidRPr="008061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B9E5" id="Rectángulo: esquinas redondeadas 1" o:spid="_x0000_s1026" style="position:absolute;left:0;text-align:left;margin-left:339.85pt;margin-top:-35.15pt;width:16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" filled="f" strokecolor="#091723 [484]" strokeweight="1pt">
                <v:stroke joinstyle="miter"/>
                <v:textbox>
                  <w:txbxContent>
                    <w:p w14:paraId="188E60F6" w14:textId="6F47B5FF" w:rsidR="0080613B" w:rsidRPr="0080613B" w:rsidRDefault="007172D5" w:rsidP="008061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CODIGO PROCESO: </w:t>
                      </w:r>
                      <w:r w:rsidR="0080613B" w:rsidRPr="0080613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CB-CP-</w:t>
                      </w:r>
                      <w:r w:rsidR="00DA6DC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55</w:t>
                      </w:r>
                      <w:r w:rsidR="0080613B" w:rsidRPr="0080613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-2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1BF9F1" w14:textId="5A9D53A5" w:rsidR="006674AF" w:rsidRPr="00094BEB" w:rsidRDefault="006674AF" w:rsidP="00094BEB">
      <w:pPr>
        <w:spacing w:after="160" w:line="259" w:lineRule="auto"/>
        <w:jc w:val="center"/>
      </w:pPr>
      <w:r w:rsidRPr="006674AF">
        <w:rPr>
          <w:rFonts w:ascii="Arial" w:hAnsi="Arial" w:cs="Arial"/>
          <w:b/>
          <w:bCs/>
          <w:sz w:val="24"/>
          <w:szCs w:val="24"/>
        </w:rPr>
        <w:t>CO</w:t>
      </w:r>
      <w:r w:rsidR="00DA6DC0">
        <w:rPr>
          <w:rFonts w:ascii="Arial" w:hAnsi="Arial" w:cs="Arial"/>
          <w:b/>
          <w:bCs/>
          <w:sz w:val="24"/>
          <w:szCs w:val="24"/>
        </w:rPr>
        <w:t>MPRA DE SERVICIOS DE CIRUGIA DE CATARATAS (MONTO FIJO) -</w:t>
      </w:r>
      <w:r w:rsidRPr="006674AF">
        <w:rPr>
          <w:rFonts w:ascii="Arial" w:hAnsi="Arial" w:cs="Arial"/>
          <w:b/>
          <w:bCs/>
          <w:sz w:val="24"/>
          <w:szCs w:val="24"/>
        </w:rPr>
        <w:t xml:space="preserve"> PRIMERA CONVOCATORIA</w:t>
      </w:r>
    </w:p>
    <w:p w14:paraId="4454D615" w14:textId="16CB4B7F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1F0638C5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</w:t>
      </w:r>
      <w:r w:rsidR="00DA6DC0" w:rsidRPr="006622B8">
        <w:rPr>
          <w:rFonts w:ascii="Arial" w:hAnsi="Arial" w:cs="Arial"/>
          <w:sz w:val="18"/>
          <w:szCs w:val="18"/>
          <w:lang w:val="es-MX" w:eastAsia="es-BO"/>
        </w:rPr>
        <w:t>Compras, la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DA6DC0" w:rsidRPr="00DA6DC0">
        <w:rPr>
          <w:rFonts w:ascii="Arial" w:hAnsi="Arial" w:cs="Arial"/>
          <w:b/>
          <w:bCs/>
          <w:sz w:val="18"/>
          <w:szCs w:val="18"/>
        </w:rPr>
        <w:t>COMPRA DE SERVICIOS DE CIRUGIA DE CATARATAS (MONTO FIJO) 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2BC7B0E7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>:</w:t>
      </w:r>
      <w:r w:rsidR="003A301F">
        <w:rPr>
          <w:rFonts w:ascii="Arial" w:hAnsi="Arial" w:cs="Arial"/>
          <w:b/>
          <w:sz w:val="18"/>
          <w:szCs w:val="18"/>
          <w:u w:val="single"/>
        </w:rPr>
        <w:t>3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0 del día </w:t>
      </w:r>
      <w:r w:rsidR="00DA6DC0">
        <w:rPr>
          <w:rFonts w:ascii="Arial" w:hAnsi="Arial" w:cs="Arial"/>
          <w:b/>
          <w:sz w:val="18"/>
          <w:szCs w:val="18"/>
          <w:u w:val="single"/>
        </w:rPr>
        <w:t xml:space="preserve">lunes 16 de diciembre de 2024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7AD33D1A" w14:textId="77777777" w:rsidR="00DA6DC0" w:rsidRPr="00DA6DC0" w:rsidRDefault="002D1109" w:rsidP="00481E84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A6DC0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DA6DC0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DA6DC0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="0014779E" w:rsidRPr="00DA6DC0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adquisicionescsbpcbba@csbp.com.b0o</w:t>
        </w:r>
      </w:hyperlink>
      <w:r w:rsidRPr="00DA6DC0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DA6DC0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DA6DC0">
        <w:rPr>
          <w:rFonts w:ascii="Arial" w:hAnsi="Arial" w:cs="Arial"/>
          <w:b/>
          <w:sz w:val="18"/>
          <w:szCs w:val="18"/>
        </w:rPr>
        <w:t>“CB-CP-</w:t>
      </w:r>
      <w:r w:rsidR="00DA6DC0" w:rsidRPr="00DA6DC0">
        <w:rPr>
          <w:rFonts w:ascii="Arial" w:hAnsi="Arial" w:cs="Arial"/>
          <w:b/>
          <w:sz w:val="18"/>
          <w:szCs w:val="18"/>
        </w:rPr>
        <w:t>55</w:t>
      </w:r>
      <w:r w:rsidRPr="00DA6DC0">
        <w:rPr>
          <w:rFonts w:ascii="Arial" w:hAnsi="Arial" w:cs="Arial"/>
          <w:b/>
          <w:sz w:val="18"/>
          <w:szCs w:val="18"/>
        </w:rPr>
        <w:t>-202</w:t>
      </w:r>
      <w:r w:rsidR="0014779E" w:rsidRPr="00DA6DC0">
        <w:rPr>
          <w:rFonts w:ascii="Arial" w:hAnsi="Arial" w:cs="Arial"/>
          <w:b/>
          <w:sz w:val="18"/>
          <w:szCs w:val="18"/>
        </w:rPr>
        <w:t>4</w:t>
      </w:r>
      <w:r w:rsidRPr="00DA6DC0">
        <w:rPr>
          <w:rFonts w:ascii="Arial" w:hAnsi="Arial" w:cs="Arial"/>
          <w:b/>
          <w:sz w:val="18"/>
          <w:szCs w:val="18"/>
        </w:rPr>
        <w:t xml:space="preserve"> – </w:t>
      </w:r>
      <w:r w:rsidR="00DA6DC0" w:rsidRPr="00DA6DC0">
        <w:rPr>
          <w:rFonts w:ascii="Arial" w:hAnsi="Arial" w:cs="Arial"/>
          <w:b/>
          <w:sz w:val="18"/>
          <w:szCs w:val="18"/>
        </w:rPr>
        <w:t>COMPRA DE SERVICIOS DE CIRUGIA DE CATARATAS (MONTO FIJO) - PRIMERA CONVOCATORIA.</w:t>
      </w:r>
    </w:p>
    <w:p w14:paraId="299761F2" w14:textId="15B3FA62" w:rsidR="002D1109" w:rsidRPr="00DA6DC0" w:rsidRDefault="002D1109" w:rsidP="00481E84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A6DC0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DA6DC0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DA6DC0">
        <w:rPr>
          <w:rFonts w:ascii="Arial" w:hAnsi="Arial" w:cs="Arial"/>
          <w:color w:val="000000" w:themeColor="text1"/>
          <w:sz w:val="18"/>
          <w:szCs w:val="18"/>
        </w:rPr>
        <w:t xml:space="preserve">, la misma deberá ser entregada en </w:t>
      </w:r>
      <w:r w:rsidRPr="00DA6DC0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DA6DC0">
        <w:rPr>
          <w:rFonts w:ascii="Arial" w:hAnsi="Arial" w:cs="Arial"/>
          <w:sz w:val="18"/>
          <w:szCs w:val="18"/>
        </w:rPr>
        <w:t>Hamiraya</w:t>
      </w:r>
      <w:proofErr w:type="spellEnd"/>
      <w:r w:rsidRPr="00DA6DC0">
        <w:rPr>
          <w:rFonts w:ascii="Arial" w:hAnsi="Arial" w:cs="Arial"/>
          <w:sz w:val="18"/>
          <w:szCs w:val="18"/>
        </w:rPr>
        <w:t xml:space="preserve"> No. 0356, en sobre cerrado, debidamente </w:t>
      </w:r>
      <w:r w:rsidRPr="00DA6DC0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DA6DC0">
        <w:rPr>
          <w:rFonts w:ascii="Arial" w:hAnsi="Arial" w:cs="Arial"/>
          <w:b/>
          <w:sz w:val="18"/>
          <w:szCs w:val="18"/>
        </w:rPr>
        <w:t>CB-CP</w:t>
      </w:r>
      <w:r w:rsidR="0014779E" w:rsidRPr="00DA6DC0">
        <w:rPr>
          <w:rFonts w:ascii="Arial" w:hAnsi="Arial" w:cs="Arial"/>
          <w:b/>
          <w:sz w:val="18"/>
          <w:szCs w:val="18"/>
        </w:rPr>
        <w:t>-</w:t>
      </w:r>
      <w:r w:rsidR="00DA6DC0" w:rsidRPr="00DA6DC0">
        <w:rPr>
          <w:rFonts w:ascii="Arial" w:hAnsi="Arial" w:cs="Arial"/>
          <w:b/>
          <w:sz w:val="18"/>
          <w:szCs w:val="18"/>
        </w:rPr>
        <w:t>55</w:t>
      </w:r>
      <w:r w:rsidR="00473BC8" w:rsidRPr="00DA6DC0">
        <w:rPr>
          <w:rFonts w:ascii="Arial" w:hAnsi="Arial" w:cs="Arial"/>
          <w:b/>
          <w:sz w:val="18"/>
          <w:szCs w:val="18"/>
        </w:rPr>
        <w:t>-202</w:t>
      </w:r>
      <w:r w:rsidR="0014779E" w:rsidRPr="00DA6DC0">
        <w:rPr>
          <w:rFonts w:ascii="Arial" w:hAnsi="Arial" w:cs="Arial"/>
          <w:b/>
          <w:sz w:val="18"/>
          <w:szCs w:val="18"/>
        </w:rPr>
        <w:t>4</w:t>
      </w:r>
      <w:r w:rsidR="00473BC8" w:rsidRPr="00DA6DC0">
        <w:rPr>
          <w:rFonts w:ascii="Arial" w:hAnsi="Arial" w:cs="Arial"/>
          <w:b/>
          <w:sz w:val="18"/>
          <w:szCs w:val="18"/>
        </w:rPr>
        <w:t xml:space="preserve"> - 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DA6DC0" w:rsidRPr="00DA6DC0">
        <w:rPr>
          <w:rFonts w:ascii="Arial" w:hAnsi="Arial" w:cs="Arial"/>
          <w:b/>
          <w:sz w:val="18"/>
          <w:szCs w:val="18"/>
        </w:rPr>
        <w:t>COMPRA DE SERVICIOS DE CIRUGIA DE CATARATAS (MONTO FIJO) - PRIMERA CONVOCATORIA</w:t>
      </w:r>
      <w:r w:rsidR="00DA6DC0">
        <w:rPr>
          <w:rFonts w:ascii="Arial" w:hAnsi="Arial" w:cs="Arial"/>
          <w:b/>
          <w:sz w:val="18"/>
          <w:szCs w:val="18"/>
        </w:rPr>
        <w:t>”</w:t>
      </w:r>
      <w:r w:rsidR="00DA6DC0" w:rsidRPr="00DA6DC0">
        <w:rPr>
          <w:rFonts w:ascii="Arial" w:hAnsi="Arial" w:cs="Arial"/>
          <w:b/>
          <w:sz w:val="18"/>
          <w:szCs w:val="18"/>
        </w:rPr>
        <w:t>.</w:t>
      </w:r>
      <w:r w:rsidR="003D27E7"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 Incluyendo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 w:rsidRPr="00DA6DC0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3A301F" w:rsidRPr="00DA6DC0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 w:rsidR="00A2382C"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DA6DC0" w:rsidRPr="00DA6DC0">
        <w:rPr>
          <w:rFonts w:ascii="Arial" w:hAnsi="Arial" w:cs="Arial"/>
          <w:b/>
          <w:color w:val="000000" w:themeColor="text1"/>
          <w:sz w:val="18"/>
          <w:szCs w:val="18"/>
        </w:rPr>
        <w:t>16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 w:rsidRPr="00DA6DC0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DA6DC0" w:rsidRPr="00DA6DC0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6018C7" w:rsidRPr="00DA6DC0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14779E" w:rsidRPr="00DA6DC0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6C20275" w14:textId="77777777" w:rsidR="001324E1" w:rsidRDefault="001324E1" w:rsidP="001324E1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F955C1A" w14:textId="51258090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1F8E6CDE" w14:textId="77777777" w:rsidR="001324E1" w:rsidRDefault="001324E1" w:rsidP="001324E1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6F6D06" w14:textId="7BE51CCA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53754EE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1324E1">
        <w:rPr>
          <w:rFonts w:ascii="Arial" w:hAnsi="Arial" w:cs="Arial"/>
          <w:bCs/>
          <w:sz w:val="18"/>
          <w:szCs w:val="18"/>
        </w:rPr>
        <w:t xml:space="preserve">que </w:t>
      </w:r>
      <w:r w:rsidR="00DA6DC0">
        <w:rPr>
          <w:rFonts w:ascii="Arial" w:hAnsi="Arial" w:cs="Arial"/>
          <w:bCs/>
          <w:sz w:val="18"/>
          <w:szCs w:val="18"/>
        </w:rPr>
        <w:t>realice procedimientos quirúrgicos oftalmológicos (CATARATAS) a pacientes de la CSBP que se encuentran en lista de espera y que fueron pre valorados</w:t>
      </w:r>
    </w:p>
    <w:tbl>
      <w:tblPr>
        <w:tblpPr w:leftFromText="141" w:rightFromText="141" w:vertAnchor="text" w:horzAnchor="margin" w:tblpXSpec="right" w:tblpY="61"/>
        <w:tblOverlap w:val="never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395"/>
        <w:gridCol w:w="1017"/>
        <w:gridCol w:w="1417"/>
        <w:gridCol w:w="2285"/>
      </w:tblGrid>
      <w:tr w:rsidR="00DA6DC0" w:rsidRPr="006622B8" w14:paraId="413EF91C" w14:textId="77777777" w:rsidTr="0075035B">
        <w:trPr>
          <w:trHeight w:val="567"/>
        </w:trPr>
        <w:tc>
          <w:tcPr>
            <w:tcW w:w="562" w:type="dxa"/>
            <w:shd w:val="solid" w:color="C0C0C0" w:fill="FFFFFF"/>
            <w:vAlign w:val="center"/>
          </w:tcPr>
          <w:p w14:paraId="44E037E0" w14:textId="0BE1FD86" w:rsidR="00D752C7" w:rsidRPr="00DA6DC0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4395" w:type="dxa"/>
            <w:shd w:val="solid" w:color="C0C0C0" w:fill="FFFFFF"/>
            <w:noWrap/>
            <w:vAlign w:val="center"/>
            <w:hideMark/>
          </w:tcPr>
          <w:p w14:paraId="68CC56DA" w14:textId="77777777" w:rsidR="00D752C7" w:rsidRPr="00DA6DC0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992" w:type="dxa"/>
            <w:shd w:val="solid" w:color="C0C0C0" w:fill="FFFFFF"/>
            <w:vAlign w:val="center"/>
          </w:tcPr>
          <w:p w14:paraId="1F501CC2" w14:textId="5AEBD793" w:rsidR="00D752C7" w:rsidRPr="00DA6DC0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1417" w:type="dxa"/>
            <w:shd w:val="solid" w:color="C0C0C0" w:fill="FFFFFF"/>
            <w:noWrap/>
            <w:vAlign w:val="center"/>
            <w:hideMark/>
          </w:tcPr>
          <w:p w14:paraId="022CD82B" w14:textId="6E78A375" w:rsidR="00D752C7" w:rsidRPr="00DA6DC0" w:rsidRDefault="00DA6DC0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CANTIDAD</w:t>
            </w:r>
          </w:p>
        </w:tc>
        <w:tc>
          <w:tcPr>
            <w:tcW w:w="2285" w:type="dxa"/>
            <w:shd w:val="solid" w:color="C0C0C0" w:fill="FFFFFF"/>
            <w:noWrap/>
            <w:vAlign w:val="center"/>
            <w:hideMark/>
          </w:tcPr>
          <w:p w14:paraId="0D6D9D7A" w14:textId="11A06C10" w:rsidR="00D752C7" w:rsidRPr="00DA6DC0" w:rsidRDefault="0075035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OBSERVACIONES</w:t>
            </w:r>
          </w:p>
        </w:tc>
      </w:tr>
      <w:tr w:rsidR="0075035B" w:rsidRPr="006622B8" w14:paraId="36346A59" w14:textId="77777777" w:rsidTr="0075035B">
        <w:trPr>
          <w:trHeight w:val="850"/>
        </w:trPr>
        <w:tc>
          <w:tcPr>
            <w:tcW w:w="562" w:type="dxa"/>
            <w:shd w:val="clear" w:color="auto" w:fill="auto"/>
            <w:vAlign w:val="center"/>
          </w:tcPr>
          <w:p w14:paraId="633798F5" w14:textId="0F823E68" w:rsidR="00D752C7" w:rsidRPr="00354220" w:rsidRDefault="00D752C7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42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66F3E756" w14:textId="76BA26B3" w:rsidR="00D752C7" w:rsidRPr="00354220" w:rsidRDefault="00DA6DC0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54220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CIRUGIA DE CATARATAS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94349" w14:textId="5F9D9498" w:rsidR="00D752C7" w:rsidRPr="00354220" w:rsidRDefault="00DA6DC0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54220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PACIENTE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FEC382" w14:textId="414F6BBD" w:rsidR="008A691B" w:rsidRPr="00354220" w:rsidRDefault="00DA6DC0" w:rsidP="00DA6DC0">
            <w:pPr>
              <w:jc w:val="center"/>
              <w:rPr>
                <w:sz w:val="16"/>
                <w:szCs w:val="16"/>
              </w:rPr>
            </w:pPr>
            <w:r w:rsidRPr="00354220">
              <w:rPr>
                <w:sz w:val="18"/>
                <w:szCs w:val="18"/>
              </w:rPr>
              <w:t>46</w:t>
            </w:r>
          </w:p>
        </w:tc>
        <w:tc>
          <w:tcPr>
            <w:tcW w:w="2285" w:type="dxa"/>
            <w:shd w:val="clear" w:color="auto" w:fill="auto"/>
            <w:noWrap/>
            <w:vAlign w:val="center"/>
          </w:tcPr>
          <w:p w14:paraId="099F0FF9" w14:textId="0A5DCF53" w:rsidR="00D752C7" w:rsidRPr="000962D5" w:rsidRDefault="0075035B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035B">
              <w:rPr>
                <w:rFonts w:ascii="Arial" w:hAnsi="Arial" w:cs="Arial"/>
                <w:b/>
                <w:sz w:val="14"/>
                <w:szCs w:val="14"/>
              </w:rPr>
              <w:t>TODOS LOS PROCEDIMIENTOS DEBERÁN SER PROGRAMADOS HASTA EL 31 DE DICIEMBRE</w:t>
            </w:r>
          </w:p>
        </w:tc>
      </w:tr>
    </w:tbl>
    <w:p w14:paraId="68743F5F" w14:textId="59F4EE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1B1636CD" w14:textId="77777777" w:rsidR="00C25599" w:rsidRDefault="00C25599" w:rsidP="009C4FA5">
      <w:pPr>
        <w:pStyle w:val="Textoindependiente"/>
        <w:numPr>
          <w:ilvl w:val="1"/>
          <w:numId w:val="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6D6499">
      <w:pPr>
        <w:spacing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1BC90714" w14:textId="77777777" w:rsidR="006D6499" w:rsidRDefault="006D6499" w:rsidP="006D6499">
      <w:pPr>
        <w:spacing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3ECD5AE5" w14:textId="0DAF5E80" w:rsidR="00C25599" w:rsidRDefault="00C25599" w:rsidP="006D6499">
      <w:pPr>
        <w:spacing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6D6499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6D6499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6D6499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6D6499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77777777" w:rsidR="00525875" w:rsidRPr="00525875" w:rsidRDefault="00525875" w:rsidP="006D6499">
      <w:pPr>
        <w:pStyle w:val="Prrafodelista"/>
        <w:numPr>
          <w:ilvl w:val="4"/>
          <w:numId w:val="9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C77BB4" w14:textId="77777777" w:rsidR="00C25599" w:rsidRDefault="00C25599" w:rsidP="006D6499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A7267F3" w14:textId="323B67EF" w:rsidR="00C25599" w:rsidRDefault="00C25599" w:rsidP="006D6499">
      <w:pPr>
        <w:spacing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6D6499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6D6499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6D6499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6D6499">
      <w:pPr>
        <w:pStyle w:val="Prrafodelista"/>
        <w:numPr>
          <w:ilvl w:val="4"/>
          <w:numId w:val="8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6D6499">
      <w:pPr>
        <w:numPr>
          <w:ilvl w:val="4"/>
          <w:numId w:val="8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3BC86B7A" w14:textId="77777777" w:rsidR="006D6499" w:rsidRDefault="006D6499" w:rsidP="006D6499">
      <w:pPr>
        <w:ind w:firstLine="708"/>
        <w:jc w:val="both"/>
        <w:rPr>
          <w:rFonts w:ascii="Arial" w:hAnsi="Arial" w:cs="Arial"/>
          <w:b/>
          <w:sz w:val="18"/>
          <w:u w:val="single"/>
        </w:rPr>
      </w:pPr>
    </w:p>
    <w:p w14:paraId="2E9C57D2" w14:textId="0A21550C" w:rsidR="00C25599" w:rsidRDefault="00CA569F" w:rsidP="006D6499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3EE1CFAF" w14:textId="3BDF1280" w:rsidR="00C25599" w:rsidRDefault="00C25599" w:rsidP="006D6499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7E92F7B" w14:textId="77777777" w:rsidR="00C25599" w:rsidRDefault="00C25599" w:rsidP="006D6499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47CF89C1" w14:textId="77777777" w:rsidR="00C25599" w:rsidRDefault="00C25599" w:rsidP="006D6499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7FE4858E" w14:textId="77777777" w:rsidR="00C25599" w:rsidRDefault="00C25599" w:rsidP="006D6499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7CE48D9F" w14:textId="77777777" w:rsidR="00C25599" w:rsidRDefault="00C25599" w:rsidP="006D6499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671A0279" w14:textId="77777777" w:rsidR="00C25599" w:rsidRDefault="00C25599" w:rsidP="006D6499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23A2363A" w14:textId="77777777" w:rsidR="0075035B" w:rsidRDefault="0075035B" w:rsidP="006D6499">
      <w:pPr>
        <w:numPr>
          <w:ilvl w:val="4"/>
          <w:numId w:val="7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7936E2">
      <w:pPr>
        <w:pStyle w:val="Textoindependiente"/>
        <w:spacing w:before="12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14EAF9C5" w:rsidR="002D1109" w:rsidRPr="006622B8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</w:t>
      </w:r>
      <w:r w:rsidR="00D02FBE">
        <w:rPr>
          <w:rFonts w:ascii="Arial" w:hAnsi="Arial" w:cs="Arial"/>
          <w:bCs/>
          <w:sz w:val="18"/>
          <w:szCs w:val="18"/>
        </w:rPr>
        <w:t xml:space="preserve"> menor precio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2093BBA8" w:rsidR="002D1109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9C4FA5">
      <w:pPr>
        <w:pStyle w:val="Textoindependiente"/>
        <w:numPr>
          <w:ilvl w:val="0"/>
          <w:numId w:val="4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3FBB4BB" w:rsidR="00525875" w:rsidRPr="00525875" w:rsidRDefault="00525875" w:rsidP="007936E2">
      <w:pPr>
        <w:pStyle w:val="Textoindependiente"/>
        <w:spacing w:before="120"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132C43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4E5F4F5F" w14:textId="77777777" w:rsidR="006D6499" w:rsidRDefault="006D6499" w:rsidP="00132C43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2CAEAFD8" w:rsidR="003553C8" w:rsidRPr="003553C8" w:rsidRDefault="003553C8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132C43">
      <w:pPr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132C43">
      <w:pPr>
        <w:pStyle w:val="Prrafodelista"/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1E59C587" w14:textId="5766C6FD" w:rsidR="00354220" w:rsidRPr="00A6281E" w:rsidRDefault="00354220" w:rsidP="00354220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</w:t>
      </w:r>
      <w:r>
        <w:rPr>
          <w:rFonts w:ascii="Arial" w:hAnsi="Arial" w:cs="Arial"/>
          <w:sz w:val="18"/>
          <w:szCs w:val="18"/>
        </w:rPr>
        <w:t>6</w:t>
      </w:r>
      <w:r w:rsidRPr="00A6281E">
        <w:rPr>
          <w:rFonts w:ascii="Arial" w:hAnsi="Arial" w:cs="Arial"/>
          <w:sz w:val="18"/>
          <w:szCs w:val="18"/>
        </w:rPr>
        <w:t xml:space="preserve">0 días), la garantía entrará en vigencia a partir de la fecha de 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211BEB00" w14:textId="77777777" w:rsidR="00A2382C" w:rsidRDefault="00A2382C" w:rsidP="00132C43">
      <w:pPr>
        <w:spacing w:before="120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132C43">
      <w:pPr>
        <w:pStyle w:val="Prrafodelista"/>
        <w:numPr>
          <w:ilvl w:val="4"/>
          <w:numId w:val="11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01662CB6" w14:textId="1CECAAC9" w:rsidR="00354220" w:rsidRPr="00A6281E" w:rsidRDefault="00354220" w:rsidP="00354220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</w:t>
      </w:r>
      <w:r>
        <w:rPr>
          <w:rFonts w:ascii="Arial" w:hAnsi="Arial" w:cs="Arial"/>
          <w:sz w:val="18"/>
          <w:szCs w:val="18"/>
        </w:rPr>
        <w:t>6</w:t>
      </w:r>
      <w:r w:rsidRPr="00A6281E">
        <w:rPr>
          <w:rFonts w:ascii="Arial" w:hAnsi="Arial" w:cs="Arial"/>
          <w:sz w:val="18"/>
          <w:szCs w:val="18"/>
        </w:rPr>
        <w:t xml:space="preserve">0 días), la garantía entrará en vigencia a partir de la fecha de 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27210261" w14:textId="77777777" w:rsidR="00354220" w:rsidRDefault="00354220" w:rsidP="00354220">
      <w:pPr>
        <w:ind w:left="2160"/>
        <w:jc w:val="both"/>
        <w:rPr>
          <w:rFonts w:ascii="Arial" w:hAnsi="Arial" w:cs="Arial"/>
          <w:sz w:val="18"/>
          <w:szCs w:val="16"/>
        </w:rPr>
      </w:pPr>
    </w:p>
    <w:p w14:paraId="2A53E3CD" w14:textId="77777777" w:rsidR="00A2382C" w:rsidRDefault="00A2382C" w:rsidP="00A2382C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6F56F6CE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6471F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2183FDF5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5FB256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57A0E2B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5225CB8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4991BAF8" w14:textId="77777777" w:rsidR="0075035B" w:rsidRDefault="0075035B" w:rsidP="0075035B">
      <w:pPr>
        <w:numPr>
          <w:ilvl w:val="4"/>
          <w:numId w:val="10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47CDF12C" w14:textId="3E609073" w:rsidR="00354220" w:rsidRPr="00A6281E" w:rsidRDefault="00354220" w:rsidP="00354220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</w:t>
      </w:r>
      <w:r>
        <w:rPr>
          <w:rFonts w:ascii="Arial" w:hAnsi="Arial" w:cs="Arial"/>
          <w:sz w:val="18"/>
          <w:szCs w:val="18"/>
        </w:rPr>
        <w:t>6</w:t>
      </w:r>
      <w:r w:rsidRPr="00A6281E">
        <w:rPr>
          <w:rFonts w:ascii="Arial" w:hAnsi="Arial" w:cs="Arial"/>
          <w:sz w:val="18"/>
          <w:szCs w:val="18"/>
        </w:rPr>
        <w:t xml:space="preserve">0 días), la garantía entrará en vigencia a partir de la fecha de 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010EE3AF" w14:textId="7FBB966D" w:rsidR="002D1109" w:rsidRPr="006622B8" w:rsidRDefault="00132C43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PAGO DEL SERVICIO</w:t>
      </w:r>
      <w:r w:rsidR="002D1109" w:rsidRPr="006622B8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4DB6652" w14:textId="55A5F8D6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 xml:space="preserve">Para que la CSBP proceda con el pago del servicio, el Centro o profesional debe presentar </w:t>
      </w:r>
      <w:r w:rsidR="0075035B">
        <w:rPr>
          <w:rFonts w:ascii="Arial" w:hAnsi="Arial" w:cs="Arial"/>
          <w:bCs/>
          <w:sz w:val="18"/>
          <w:szCs w:val="18"/>
          <w:lang w:val="es-BO" w:eastAsia="es-ES"/>
        </w:rPr>
        <w:t>por cada paciente: El registro de atención pre y post quirúrgica del alta, el protocolo quirúrgico y la factura correspondiente.</w:t>
      </w:r>
    </w:p>
    <w:p w14:paraId="480CFD4F" w14:textId="741620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9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7270B999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354220">
        <w:rPr>
          <w:rFonts w:ascii="Arial" w:hAnsi="Arial" w:cs="Arial"/>
          <w:b/>
          <w:bCs/>
          <w:sz w:val="18"/>
          <w:szCs w:val="18"/>
        </w:rPr>
        <w:t>DICIEMBRE DE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</w:t>
      </w:r>
      <w:r w:rsidR="00132C43">
        <w:rPr>
          <w:rFonts w:ascii="Arial" w:hAnsi="Arial" w:cs="Arial"/>
          <w:b/>
          <w:bCs/>
          <w:sz w:val="18"/>
          <w:szCs w:val="18"/>
        </w:rPr>
        <w:t>4</w:t>
      </w:r>
    </w:p>
    <w:sectPr w:rsidR="003D27E7" w:rsidRPr="003D27E7" w:rsidSect="00132C43">
      <w:footerReference w:type="default" r:id="rId10"/>
      <w:headerReference w:type="first" r:id="rId11"/>
      <w:footerReference w:type="first" r:id="rId12"/>
      <w:pgSz w:w="12242" w:h="15842" w:code="1"/>
      <w:pgMar w:top="2127" w:right="1080" w:bottom="993" w:left="1080" w:header="1028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56758" w14:textId="77777777" w:rsidR="00654540" w:rsidRDefault="00654540" w:rsidP="001514BD">
      <w:r>
        <w:separator/>
      </w:r>
    </w:p>
  </w:endnote>
  <w:endnote w:type="continuationSeparator" w:id="0">
    <w:p w14:paraId="667AAB47" w14:textId="77777777" w:rsidR="00654540" w:rsidRDefault="00654540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69D19" w14:textId="77777777" w:rsidR="00654540" w:rsidRDefault="00654540" w:rsidP="001514BD">
      <w:r>
        <w:separator/>
      </w:r>
    </w:p>
  </w:footnote>
  <w:footnote w:type="continuationSeparator" w:id="0">
    <w:p w14:paraId="39D0EDD0" w14:textId="77777777" w:rsidR="00654540" w:rsidRDefault="00654540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F2E9" w14:textId="7E63D225" w:rsidR="001F6236" w:rsidRDefault="001F623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1DF3C" wp14:editId="5C6142B2">
          <wp:simplePos x="0" y="0"/>
          <wp:positionH relativeFrom="margin">
            <wp:align>left</wp:align>
          </wp:positionH>
          <wp:positionV relativeFrom="paragraph">
            <wp:posOffset>-90805</wp:posOffset>
          </wp:positionV>
          <wp:extent cx="1683347" cy="676275"/>
          <wp:effectExtent l="0" t="0" r="0" b="0"/>
          <wp:wrapNone/>
          <wp:docPr id="1479033949" name="Imagen 5">
            <a:extLst xmlns:a="http://schemas.openxmlformats.org/drawingml/2006/main">
              <a:ext uri="{FF2B5EF4-FFF2-40B4-BE49-F238E27FC236}">
                <a16:creationId xmlns:a16="http://schemas.microsoft.com/office/drawing/2014/main" id="{248BF8D5-44DF-C8A2-D47B-97CA70827E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" name="Imagen 5">
                    <a:extLst>
                      <a:ext uri="{FF2B5EF4-FFF2-40B4-BE49-F238E27FC236}">
                        <a16:creationId xmlns:a16="http://schemas.microsoft.com/office/drawing/2014/main" id="{248BF8D5-44DF-C8A2-D47B-97CA70827E8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4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3"/>
  </w:num>
  <w:num w:numId="2" w16cid:durableId="2047637100">
    <w:abstractNumId w:val="5"/>
  </w:num>
  <w:num w:numId="3" w16cid:durableId="1632326987">
    <w:abstractNumId w:val="8"/>
  </w:num>
  <w:num w:numId="4" w16cid:durableId="291599384">
    <w:abstractNumId w:val="5"/>
  </w:num>
  <w:num w:numId="5" w16cid:durableId="1142120408">
    <w:abstractNumId w:val="4"/>
  </w:num>
  <w:num w:numId="6" w16cid:durableId="807287749">
    <w:abstractNumId w:val="11"/>
  </w:num>
  <w:num w:numId="7" w16cid:durableId="1905918681">
    <w:abstractNumId w:val="0"/>
  </w:num>
  <w:num w:numId="8" w16cid:durableId="1478063168">
    <w:abstractNumId w:val="1"/>
  </w:num>
  <w:num w:numId="9" w16cid:durableId="532310073">
    <w:abstractNumId w:val="7"/>
  </w:num>
  <w:num w:numId="10" w16cid:durableId="1120688674">
    <w:abstractNumId w:val="2"/>
  </w:num>
  <w:num w:numId="11" w16cid:durableId="59179066">
    <w:abstractNumId w:val="9"/>
  </w:num>
  <w:num w:numId="12" w16cid:durableId="489373555">
    <w:abstractNumId w:val="6"/>
  </w:num>
  <w:num w:numId="13" w16cid:durableId="340353787">
    <w:abstractNumId w:val="4"/>
  </w:num>
  <w:num w:numId="14" w16cid:durableId="72214315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4BEB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5CA5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3D7D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24E1"/>
    <w:rsid w:val="00132C43"/>
    <w:rsid w:val="0013561B"/>
    <w:rsid w:val="0013740E"/>
    <w:rsid w:val="00140A59"/>
    <w:rsid w:val="001430C8"/>
    <w:rsid w:val="001474D2"/>
    <w:rsid w:val="0014779E"/>
    <w:rsid w:val="001514BD"/>
    <w:rsid w:val="001516F2"/>
    <w:rsid w:val="001559BC"/>
    <w:rsid w:val="00157E0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333F"/>
    <w:rsid w:val="001F6236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4220"/>
    <w:rsid w:val="003553C8"/>
    <w:rsid w:val="003635A9"/>
    <w:rsid w:val="0036423C"/>
    <w:rsid w:val="00364A8C"/>
    <w:rsid w:val="00376420"/>
    <w:rsid w:val="00391807"/>
    <w:rsid w:val="00391A88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6C63"/>
    <w:rsid w:val="00417E6F"/>
    <w:rsid w:val="00441CE7"/>
    <w:rsid w:val="00443BF6"/>
    <w:rsid w:val="00444445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132FE"/>
    <w:rsid w:val="00517F7F"/>
    <w:rsid w:val="00520FF8"/>
    <w:rsid w:val="00525875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4540"/>
    <w:rsid w:val="00655525"/>
    <w:rsid w:val="00655D56"/>
    <w:rsid w:val="00657034"/>
    <w:rsid w:val="0066000E"/>
    <w:rsid w:val="006601CC"/>
    <w:rsid w:val="00660AE9"/>
    <w:rsid w:val="0066519C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499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172D5"/>
    <w:rsid w:val="0073290A"/>
    <w:rsid w:val="00732B76"/>
    <w:rsid w:val="00733372"/>
    <w:rsid w:val="0073628D"/>
    <w:rsid w:val="007406B3"/>
    <w:rsid w:val="00742B23"/>
    <w:rsid w:val="007458CF"/>
    <w:rsid w:val="00745BEA"/>
    <w:rsid w:val="0075035B"/>
    <w:rsid w:val="007552BF"/>
    <w:rsid w:val="007560F5"/>
    <w:rsid w:val="00761106"/>
    <w:rsid w:val="0076123E"/>
    <w:rsid w:val="007653B2"/>
    <w:rsid w:val="00765F02"/>
    <w:rsid w:val="00770398"/>
    <w:rsid w:val="00774D34"/>
    <w:rsid w:val="007751CA"/>
    <w:rsid w:val="00777C5B"/>
    <w:rsid w:val="00781323"/>
    <w:rsid w:val="00782709"/>
    <w:rsid w:val="007877FE"/>
    <w:rsid w:val="00791897"/>
    <w:rsid w:val="007936E2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0613B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8F0D69"/>
    <w:rsid w:val="00912EAB"/>
    <w:rsid w:val="009255A8"/>
    <w:rsid w:val="00933BB7"/>
    <w:rsid w:val="00933CA0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B18B7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2C82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32DE"/>
    <w:rsid w:val="00AE74A8"/>
    <w:rsid w:val="00AE7E17"/>
    <w:rsid w:val="00AF12FC"/>
    <w:rsid w:val="00AF6948"/>
    <w:rsid w:val="00B16BCF"/>
    <w:rsid w:val="00B173C1"/>
    <w:rsid w:val="00B24A7A"/>
    <w:rsid w:val="00B276F5"/>
    <w:rsid w:val="00B348B2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93FA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15FB"/>
    <w:rsid w:val="00CC3E28"/>
    <w:rsid w:val="00CC6980"/>
    <w:rsid w:val="00CD52FE"/>
    <w:rsid w:val="00CD69E9"/>
    <w:rsid w:val="00CE6BB6"/>
    <w:rsid w:val="00CE70DD"/>
    <w:rsid w:val="00CF22D2"/>
    <w:rsid w:val="00D01EDC"/>
    <w:rsid w:val="00D02FBE"/>
    <w:rsid w:val="00D05F41"/>
    <w:rsid w:val="00D07291"/>
    <w:rsid w:val="00D12BA6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A6DC0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23EC"/>
    <w:rsid w:val="00E257D6"/>
    <w:rsid w:val="00E3669B"/>
    <w:rsid w:val="00E457DF"/>
    <w:rsid w:val="00E506E0"/>
    <w:rsid w:val="00E5171A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5D4B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0211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chabamba.csbp.com.bo/blog/adquisiciones-cochabamba-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1411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3</cp:revision>
  <cp:lastPrinted>2024-11-13T21:30:00Z</cp:lastPrinted>
  <dcterms:created xsi:type="dcterms:W3CDTF">2024-12-11T20:01:00Z</dcterms:created>
  <dcterms:modified xsi:type="dcterms:W3CDTF">2024-12-12T14:39:00Z</dcterms:modified>
</cp:coreProperties>
</file>