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9D14" w14:textId="77777777" w:rsidR="00F7132B" w:rsidRPr="00C25599" w:rsidRDefault="00F7132B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t>CONTRATACION DE SERVICIO DE FONOAUDIOLOGIA POR MONTO FIJO</w:t>
      </w:r>
      <w:r w:rsidR="002D1109" w:rsidRPr="00C2559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E3F1C9" w14:textId="4EF447AD" w:rsidR="002D1109" w:rsidRPr="00C25599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t xml:space="preserve"> PRIMERA CONVOCATORIA</w:t>
      </w:r>
    </w:p>
    <w:p w14:paraId="4454D615" w14:textId="77777777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4FB6C1F0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</w:t>
      </w:r>
      <w:proofErr w:type="gramStart"/>
      <w:r w:rsidRPr="006622B8">
        <w:rPr>
          <w:rFonts w:ascii="Arial" w:hAnsi="Arial" w:cs="Arial"/>
          <w:sz w:val="18"/>
          <w:szCs w:val="18"/>
          <w:lang w:val="es-MX" w:eastAsia="es-BO"/>
        </w:rPr>
        <w:t>Compras,  la</w:t>
      </w:r>
      <w:proofErr w:type="gramEnd"/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F7132B" w:rsidRPr="00F7132B">
        <w:rPr>
          <w:rFonts w:ascii="Arial" w:hAnsi="Arial" w:cs="Arial"/>
          <w:b/>
          <w:bCs/>
          <w:sz w:val="18"/>
          <w:szCs w:val="18"/>
        </w:rPr>
        <w:t>CONTRATACION DE SERVICIO DE FONOAUDIOLOGIA POR MONTO FIJO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1B3BECE5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:00 del día </w:t>
      </w:r>
      <w:r w:rsidR="00192A49">
        <w:rPr>
          <w:rFonts w:ascii="Arial" w:hAnsi="Arial" w:cs="Arial"/>
          <w:b/>
          <w:sz w:val="18"/>
          <w:szCs w:val="18"/>
          <w:u w:val="single"/>
        </w:rPr>
        <w:t>lunes 18</w:t>
      </w:r>
      <w:r w:rsidR="00F7132B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26F56">
        <w:rPr>
          <w:rFonts w:ascii="Arial" w:hAnsi="Arial" w:cs="Arial"/>
          <w:b/>
          <w:sz w:val="18"/>
          <w:szCs w:val="18"/>
          <w:u w:val="single"/>
        </w:rPr>
        <w:t xml:space="preserve">de noviembre </w:t>
      </w:r>
      <w:r w:rsidRPr="00E54B82">
        <w:rPr>
          <w:rFonts w:ascii="Arial" w:hAnsi="Arial" w:cs="Arial"/>
          <w:b/>
          <w:sz w:val="18"/>
          <w:szCs w:val="18"/>
          <w:u w:val="single"/>
        </w:rPr>
        <w:t>de 202</w:t>
      </w:r>
      <w:r w:rsidR="00192A49">
        <w:rPr>
          <w:rFonts w:ascii="Arial" w:hAnsi="Arial" w:cs="Arial"/>
          <w:b/>
          <w:sz w:val="18"/>
          <w:szCs w:val="18"/>
          <w:u w:val="single"/>
        </w:rPr>
        <w:t>4</w:t>
      </w:r>
      <w:r w:rsidRPr="00E54B82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5F81785B" w:rsidR="002D1109" w:rsidRPr="006622B8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55684C">
        <w:rPr>
          <w:rFonts w:ascii="Arial" w:hAnsi="Arial" w:cs="Arial"/>
          <w:b/>
          <w:sz w:val="18"/>
          <w:szCs w:val="18"/>
        </w:rPr>
        <w:t>49</w:t>
      </w:r>
      <w:r w:rsidRPr="006622B8">
        <w:rPr>
          <w:rFonts w:ascii="Arial" w:hAnsi="Arial" w:cs="Arial"/>
          <w:b/>
          <w:sz w:val="18"/>
          <w:szCs w:val="18"/>
        </w:rPr>
        <w:t>-202</w:t>
      </w:r>
      <w:r w:rsidR="0055684C">
        <w:rPr>
          <w:rFonts w:ascii="Arial" w:hAnsi="Arial" w:cs="Arial"/>
          <w:b/>
          <w:sz w:val="18"/>
          <w:szCs w:val="18"/>
        </w:rPr>
        <w:t>4</w:t>
      </w:r>
      <w:r w:rsidRPr="006622B8">
        <w:rPr>
          <w:rFonts w:ascii="Arial" w:hAnsi="Arial" w:cs="Arial"/>
          <w:b/>
          <w:sz w:val="18"/>
          <w:szCs w:val="18"/>
        </w:rPr>
        <w:t xml:space="preserve"> – </w:t>
      </w:r>
      <w:r w:rsidR="00F7132B" w:rsidRPr="00F7132B">
        <w:rPr>
          <w:rFonts w:ascii="Arial" w:hAnsi="Arial" w:cs="Arial"/>
          <w:b/>
          <w:sz w:val="18"/>
          <w:szCs w:val="18"/>
        </w:rPr>
        <w:t>CONTRATACION DE SERVICIO DE FONOAUDIOLOGIA POR MONTO FIJO.</w:t>
      </w:r>
    </w:p>
    <w:p w14:paraId="299761F2" w14:textId="4F416AF1" w:rsidR="002D1109" w:rsidRPr="00287056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Pr="006622B8">
        <w:rPr>
          <w:rFonts w:ascii="Arial" w:hAnsi="Arial" w:cs="Arial"/>
          <w:sz w:val="18"/>
          <w:szCs w:val="18"/>
        </w:rPr>
        <w:t xml:space="preserve">Secretaria de Administración, 5to piso, bloque “A”, ubicada en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6622B8">
        <w:rPr>
          <w:rFonts w:ascii="Arial" w:hAnsi="Arial" w:cs="Arial"/>
          <w:b/>
          <w:sz w:val="18"/>
          <w:szCs w:val="18"/>
        </w:rPr>
        <w:t>CB-CP-</w:t>
      </w:r>
      <w:r w:rsidR="0055684C">
        <w:rPr>
          <w:rFonts w:ascii="Arial" w:hAnsi="Arial" w:cs="Arial"/>
          <w:b/>
          <w:sz w:val="18"/>
          <w:szCs w:val="18"/>
        </w:rPr>
        <w:t>49</w:t>
      </w:r>
      <w:r w:rsidR="00473BC8" w:rsidRPr="006622B8">
        <w:rPr>
          <w:rFonts w:ascii="Arial" w:hAnsi="Arial" w:cs="Arial"/>
          <w:b/>
          <w:sz w:val="18"/>
          <w:szCs w:val="18"/>
        </w:rPr>
        <w:t>-202</w:t>
      </w:r>
      <w:r w:rsidR="0055684C">
        <w:rPr>
          <w:rFonts w:ascii="Arial" w:hAnsi="Arial" w:cs="Arial"/>
          <w:b/>
          <w:sz w:val="18"/>
          <w:szCs w:val="18"/>
        </w:rPr>
        <w:t>4</w:t>
      </w:r>
      <w:r w:rsidR="00473BC8" w:rsidRPr="006622B8">
        <w:rPr>
          <w:rFonts w:ascii="Arial" w:hAnsi="Arial" w:cs="Arial"/>
          <w:b/>
          <w:sz w:val="18"/>
          <w:szCs w:val="18"/>
        </w:rPr>
        <w:t xml:space="preserve"> </w:t>
      </w:r>
      <w:r w:rsidR="00473BC8">
        <w:rPr>
          <w:rFonts w:ascii="Arial" w:hAnsi="Arial" w:cs="Arial"/>
          <w:b/>
          <w:sz w:val="18"/>
          <w:szCs w:val="18"/>
        </w:rPr>
        <w:t xml:space="preserve">-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D752C7" w:rsidRPr="00F7132B">
        <w:rPr>
          <w:rFonts w:ascii="Arial" w:hAnsi="Arial" w:cs="Arial"/>
          <w:b/>
          <w:sz w:val="18"/>
          <w:szCs w:val="18"/>
        </w:rPr>
        <w:t>CONTRATACION DE SERVICIO DE FONOAUDIOLOGIA POR MONTO FIJO</w:t>
      </w:r>
      <w:r w:rsidR="003D27E7">
        <w:rPr>
          <w:rFonts w:ascii="Arial" w:hAnsi="Arial" w:cs="Arial"/>
          <w:b/>
          <w:color w:val="000000" w:themeColor="text1"/>
          <w:sz w:val="18"/>
          <w:szCs w:val="18"/>
        </w:rPr>
        <w:t xml:space="preserve">” </w:t>
      </w:r>
      <w:r w:rsidR="003D27E7"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:00 </w:t>
      </w:r>
      <w:r w:rsidR="00A2382C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55684C">
        <w:rPr>
          <w:rFonts w:ascii="Arial" w:hAnsi="Arial" w:cs="Arial"/>
          <w:b/>
          <w:color w:val="000000" w:themeColor="text1"/>
          <w:sz w:val="18"/>
          <w:szCs w:val="18"/>
        </w:rPr>
        <w:t>18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11/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55684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2F955C1A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3A4BC1B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D752C7">
        <w:rPr>
          <w:rFonts w:ascii="Arial" w:hAnsi="Arial" w:cs="Arial"/>
          <w:bCs/>
          <w:sz w:val="18"/>
          <w:szCs w:val="18"/>
        </w:rPr>
        <w:t>que cuente con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 equipamiento, materiales, test y pruebas que permitan una adecuada evaluación, intervención y rehabilitación en las áreas foniátrica, audiológica y del lenguaje</w:t>
      </w:r>
      <w:r w:rsidR="008A691B">
        <w:rPr>
          <w:rFonts w:ascii="Arial" w:hAnsi="Arial" w:cs="Arial"/>
          <w:bCs/>
          <w:sz w:val="18"/>
          <w:szCs w:val="18"/>
        </w:rPr>
        <w:t xml:space="preserve"> de los pacientes de </w:t>
      </w:r>
      <w:r w:rsidR="00D752C7">
        <w:rPr>
          <w:rFonts w:ascii="Arial" w:hAnsi="Arial" w:cs="Arial"/>
          <w:bCs/>
          <w:sz w:val="18"/>
          <w:szCs w:val="18"/>
        </w:rPr>
        <w:t xml:space="preserve">la CSBP </w:t>
      </w:r>
      <w:r w:rsidR="008A691B">
        <w:rPr>
          <w:rFonts w:ascii="Arial" w:hAnsi="Arial" w:cs="Arial"/>
          <w:bCs/>
          <w:sz w:val="18"/>
          <w:szCs w:val="18"/>
        </w:rPr>
        <w:t xml:space="preserve">que sean derivados </w:t>
      </w:r>
      <w:r w:rsidR="00D752C7">
        <w:rPr>
          <w:rFonts w:ascii="Arial" w:hAnsi="Arial" w:cs="Arial"/>
          <w:bCs/>
          <w:sz w:val="18"/>
          <w:szCs w:val="18"/>
        </w:rPr>
        <w:t>en los horarios designados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61"/>
        <w:tblOverlap w:val="never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251"/>
        <w:gridCol w:w="990"/>
        <w:gridCol w:w="4961"/>
        <w:gridCol w:w="1010"/>
      </w:tblGrid>
      <w:tr w:rsidR="00D752C7" w:rsidRPr="006622B8" w14:paraId="413EF91C" w14:textId="77777777" w:rsidTr="00CA569F">
        <w:trPr>
          <w:trHeight w:val="77"/>
        </w:trPr>
        <w:tc>
          <w:tcPr>
            <w:tcW w:w="551" w:type="dxa"/>
            <w:shd w:val="solid" w:color="C0C0C0" w:fill="FFFFFF"/>
            <w:vAlign w:val="center"/>
          </w:tcPr>
          <w:p w14:paraId="44E037E0" w14:textId="0BE1FD86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ÍTEM N°</w:t>
            </w:r>
          </w:p>
        </w:tc>
        <w:tc>
          <w:tcPr>
            <w:tcW w:w="2251" w:type="dxa"/>
            <w:shd w:val="solid" w:color="C0C0C0" w:fill="FFFFFF"/>
            <w:noWrap/>
            <w:vAlign w:val="center"/>
            <w:hideMark/>
          </w:tcPr>
          <w:p w14:paraId="68CC56DA" w14:textId="77777777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DESCRIPCIÓN</w:t>
            </w:r>
          </w:p>
        </w:tc>
        <w:tc>
          <w:tcPr>
            <w:tcW w:w="990" w:type="dxa"/>
            <w:shd w:val="solid" w:color="C0C0C0" w:fill="FFFFFF"/>
            <w:vAlign w:val="center"/>
          </w:tcPr>
          <w:p w14:paraId="1F501CC2" w14:textId="5AEBD793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4961" w:type="dxa"/>
            <w:shd w:val="solid" w:color="C0C0C0" w:fill="FFFFFF"/>
            <w:noWrap/>
            <w:vAlign w:val="center"/>
            <w:hideMark/>
          </w:tcPr>
          <w:p w14:paraId="022CD82B" w14:textId="1F43ACE6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CARGA HORARIA</w:t>
            </w:r>
          </w:p>
        </w:tc>
        <w:tc>
          <w:tcPr>
            <w:tcW w:w="1010" w:type="dxa"/>
            <w:shd w:val="solid" w:color="C0C0C0" w:fill="FFFFFF"/>
            <w:noWrap/>
            <w:vAlign w:val="center"/>
            <w:hideMark/>
          </w:tcPr>
          <w:p w14:paraId="0D6D9D7A" w14:textId="1917D8A9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TIEMPO DEL CONTRATO</w:t>
            </w:r>
          </w:p>
        </w:tc>
      </w:tr>
      <w:tr w:rsidR="00C25599" w:rsidRPr="006622B8" w14:paraId="36346A59" w14:textId="77777777" w:rsidTr="00192A49">
        <w:trPr>
          <w:trHeight w:val="1203"/>
        </w:trPr>
        <w:tc>
          <w:tcPr>
            <w:tcW w:w="551" w:type="dxa"/>
            <w:shd w:val="clear" w:color="auto" w:fill="auto"/>
            <w:vAlign w:val="center"/>
          </w:tcPr>
          <w:p w14:paraId="633798F5" w14:textId="0F823E68" w:rsidR="00D752C7" w:rsidRPr="00C25599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14:paraId="66F3E756" w14:textId="1B339D2D" w:rsidR="00D752C7" w:rsidRPr="00C25599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</w:t>
            </w:r>
            <w:r w:rsid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DE FONOAUDIOLOGIA</w:t>
            </w:r>
            <w:r w:rsid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POR MONTO FIJO.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4349" w14:textId="1FD1C543" w:rsidR="00D752C7" w:rsidRPr="00C25599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 MENSUAL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2FA0D0E" w14:textId="08AF8CA1" w:rsidR="00192A49" w:rsidRPr="00192A49" w:rsidRDefault="00192A49" w:rsidP="00192A4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192A49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Lunes a viernes 12 sesiones por día (6 horas) sábados 8 sesiones (4 horas)</w:t>
            </w:r>
          </w:p>
          <w:p w14:paraId="35FEC382" w14:textId="32AC09D7" w:rsidR="008A691B" w:rsidRPr="000962D5" w:rsidRDefault="00192A49" w:rsidP="00192A4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192A49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Total,</w:t>
            </w:r>
            <w:r w:rsidRPr="00192A49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 de sesiones para programar: Máximo 12 sesiones por paciente los cuales deben ser agendados en el sistema SAMI considerando días alternos (2 a 3 por semana) según demanda del servicio. En caso de requerir mayor numero elaborar informe técnico para nueva evaluación por su médico tratante y registro de nueva interconsulta.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99F0FF9" w14:textId="0186016E" w:rsidR="00D752C7" w:rsidRPr="000962D5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25599">
              <w:rPr>
                <w:rFonts w:ascii="Arial" w:hAnsi="Arial" w:cs="Arial"/>
                <w:b/>
                <w:sz w:val="16"/>
                <w:szCs w:val="16"/>
              </w:rPr>
              <w:t>2 AÑOS</w:t>
            </w:r>
          </w:p>
        </w:tc>
      </w:tr>
    </w:tbl>
    <w:p w14:paraId="6D122961" w14:textId="3907559D" w:rsidR="00CA569F" w:rsidRPr="00CA569F" w:rsidRDefault="00CA569F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240" w:after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DATOS BIOESTADISTICOS</w:t>
      </w:r>
    </w:p>
    <w:tbl>
      <w:tblPr>
        <w:tblStyle w:val="Tablaconcuadrcula"/>
        <w:tblW w:w="9892" w:type="dxa"/>
        <w:tblInd w:w="360" w:type="dxa"/>
        <w:tblLook w:val="04A0" w:firstRow="1" w:lastRow="0" w:firstColumn="1" w:lastColumn="0" w:noHBand="0" w:noVBand="1"/>
      </w:tblPr>
      <w:tblGrid>
        <w:gridCol w:w="1167"/>
        <w:gridCol w:w="1455"/>
        <w:gridCol w:w="1454"/>
        <w:gridCol w:w="1454"/>
        <w:gridCol w:w="1454"/>
        <w:gridCol w:w="1454"/>
        <w:gridCol w:w="1454"/>
      </w:tblGrid>
      <w:tr w:rsidR="00CA569F" w14:paraId="656148FD" w14:textId="77777777" w:rsidTr="00CA569F">
        <w:trPr>
          <w:trHeight w:val="283"/>
        </w:trPr>
        <w:tc>
          <w:tcPr>
            <w:tcW w:w="1167" w:type="dxa"/>
            <w:vMerge w:val="restart"/>
            <w:shd w:val="clear" w:color="auto" w:fill="9CC2E5" w:themeFill="accent1" w:themeFillTint="99"/>
            <w:vAlign w:val="center"/>
          </w:tcPr>
          <w:p w14:paraId="700762BB" w14:textId="4F74059D" w:rsidR="00CA569F" w:rsidRPr="00CA569F" w:rsidRDefault="00CA569F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4363" w:type="dxa"/>
            <w:gridSpan w:val="3"/>
            <w:shd w:val="clear" w:color="auto" w:fill="9CC2E5" w:themeFill="accent1" w:themeFillTint="99"/>
            <w:vAlign w:val="center"/>
          </w:tcPr>
          <w:p w14:paraId="1E434DE5" w14:textId="0E25973C" w:rsidR="00CA569F" w:rsidRP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EJECUTADO</w:t>
            </w:r>
          </w:p>
        </w:tc>
        <w:tc>
          <w:tcPr>
            <w:tcW w:w="4362" w:type="dxa"/>
            <w:gridSpan w:val="3"/>
            <w:shd w:val="clear" w:color="auto" w:fill="9CC2E5" w:themeFill="accent1" w:themeFillTint="99"/>
            <w:vAlign w:val="center"/>
          </w:tcPr>
          <w:p w14:paraId="15A13B01" w14:textId="46EFE2DC" w:rsidR="00CA569F" w:rsidRP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PROYECTADO</w:t>
            </w:r>
          </w:p>
        </w:tc>
      </w:tr>
      <w:tr w:rsidR="00CA569F" w14:paraId="50E8EED1" w14:textId="77777777" w:rsidTr="00CA569F">
        <w:trPr>
          <w:trHeight w:val="340"/>
        </w:trPr>
        <w:tc>
          <w:tcPr>
            <w:tcW w:w="1167" w:type="dxa"/>
            <w:vMerge/>
            <w:shd w:val="clear" w:color="auto" w:fill="9CC2E5" w:themeFill="accent1" w:themeFillTint="99"/>
          </w:tcPr>
          <w:p w14:paraId="74C474F4" w14:textId="7B4B3DE4" w:rsidR="00CA569F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2FC7BCF0" w14:textId="39641A1E" w:rsidR="00CA569F" w:rsidRDefault="003732ED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2021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CA80640" w14:textId="131C4DF1" w:rsidR="00CA569F" w:rsidRDefault="003732ED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2022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75048E87" w14:textId="3CB54E37" w:rsidR="00CA569F" w:rsidRDefault="003732ED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2023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4ADCC39C" w14:textId="6F9C8DE6" w:rsidR="00CA569F" w:rsidRDefault="003732ED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2024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249072D" w14:textId="0CF2AC9A" w:rsidR="00CA569F" w:rsidRDefault="003732ED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2025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6A4F21D" w14:textId="0D2E5549" w:rsidR="00CA569F" w:rsidRDefault="003732ED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2026</w:t>
            </w:r>
          </w:p>
        </w:tc>
      </w:tr>
      <w:tr w:rsidR="00CA569F" w14:paraId="6587D759" w14:textId="77777777" w:rsidTr="00CA569F">
        <w:trPr>
          <w:trHeight w:val="340"/>
        </w:trPr>
        <w:tc>
          <w:tcPr>
            <w:tcW w:w="1167" w:type="dxa"/>
            <w:vMerge/>
            <w:shd w:val="clear" w:color="auto" w:fill="9CC2E5" w:themeFill="accent1" w:themeFillTint="99"/>
          </w:tcPr>
          <w:p w14:paraId="4F3664A9" w14:textId="77777777" w:rsidR="00CA569F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74C07997" w14:textId="27711050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170579AA" w14:textId="1EB3379B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48192023" w14:textId="24B78287" w:rsidR="00CA569F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06F2AD18" w14:textId="7930B351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CANITDAD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26E7250C" w14:textId="08B25160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454" w:type="dxa"/>
            <w:shd w:val="clear" w:color="auto" w:fill="9CC2E5" w:themeFill="accent1" w:themeFillTint="99"/>
            <w:vAlign w:val="center"/>
          </w:tcPr>
          <w:p w14:paraId="0C850119" w14:textId="4D0D34AB" w:rsidR="00CA569F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</w:tr>
      <w:tr w:rsidR="00CA569F" w14:paraId="4EB2C237" w14:textId="517C6523" w:rsidTr="00CA569F">
        <w:tc>
          <w:tcPr>
            <w:tcW w:w="1167" w:type="dxa"/>
            <w:vAlign w:val="center"/>
          </w:tcPr>
          <w:p w14:paraId="166AD765" w14:textId="59A175EB" w:rsidR="00CA569F" w:rsidRPr="00CA569F" w:rsidRDefault="00CA569F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69F">
              <w:rPr>
                <w:rFonts w:ascii="Arial" w:hAnsi="Arial" w:cs="Arial"/>
                <w:sz w:val="18"/>
                <w:szCs w:val="18"/>
              </w:rPr>
              <w:t>SESION (INFORME)</w:t>
            </w:r>
          </w:p>
        </w:tc>
        <w:tc>
          <w:tcPr>
            <w:tcW w:w="1455" w:type="dxa"/>
            <w:vAlign w:val="center"/>
          </w:tcPr>
          <w:p w14:paraId="44B0F5F7" w14:textId="2CABC69F" w:rsidR="00CA569F" w:rsidRPr="00CA569F" w:rsidRDefault="003732ED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1807</w:t>
            </w:r>
          </w:p>
        </w:tc>
        <w:tc>
          <w:tcPr>
            <w:tcW w:w="1454" w:type="dxa"/>
            <w:vAlign w:val="center"/>
          </w:tcPr>
          <w:p w14:paraId="55741770" w14:textId="77AC5322" w:rsidR="00CA569F" w:rsidRPr="00CA569F" w:rsidRDefault="003732ED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  <w:tc>
          <w:tcPr>
            <w:tcW w:w="1454" w:type="dxa"/>
            <w:vAlign w:val="center"/>
          </w:tcPr>
          <w:p w14:paraId="512334F0" w14:textId="4F7A0C00" w:rsidR="00CA569F" w:rsidRPr="00CA569F" w:rsidRDefault="003732ED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</w:t>
            </w:r>
          </w:p>
        </w:tc>
        <w:tc>
          <w:tcPr>
            <w:tcW w:w="1454" w:type="dxa"/>
            <w:vAlign w:val="center"/>
          </w:tcPr>
          <w:p w14:paraId="4F192062" w14:textId="7541AF07" w:rsidR="00CA569F" w:rsidRPr="00CA569F" w:rsidRDefault="003732ED" w:rsidP="00CA569F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2958</w:t>
            </w:r>
          </w:p>
        </w:tc>
        <w:tc>
          <w:tcPr>
            <w:tcW w:w="1454" w:type="dxa"/>
            <w:vAlign w:val="center"/>
          </w:tcPr>
          <w:p w14:paraId="12CE7A37" w14:textId="4DD83D45" w:rsidR="00CA569F" w:rsidRPr="00CA569F" w:rsidRDefault="003732ED" w:rsidP="00CA569F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3106</w:t>
            </w:r>
          </w:p>
        </w:tc>
        <w:tc>
          <w:tcPr>
            <w:tcW w:w="1454" w:type="dxa"/>
            <w:vAlign w:val="center"/>
          </w:tcPr>
          <w:p w14:paraId="4A2534DA" w14:textId="11A98FD3" w:rsidR="00CA569F" w:rsidRPr="00CA569F" w:rsidRDefault="003732ED" w:rsidP="00CA569F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</w:t>
            </w:r>
          </w:p>
        </w:tc>
      </w:tr>
    </w:tbl>
    <w:p w14:paraId="68743F5F" w14:textId="696C283F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lastRenderedPageBreak/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1B1636CD" w14:textId="77777777" w:rsidR="00C25599" w:rsidRDefault="00C2559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 xml:space="preserve">DOCUMENTACIÓN LEGAL Y ADMINISTRATIVA: </w:t>
      </w:r>
    </w:p>
    <w:p w14:paraId="3E41182F" w14:textId="77777777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 adjuntar a su propuesta la siguiente documentación en fotocopias simples:</w:t>
      </w:r>
    </w:p>
    <w:p w14:paraId="6249A860" w14:textId="5C6E5FB4" w:rsidR="00C25599" w:rsidRDefault="00CA569F" w:rsidP="00525875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ECD5AE5" w14:textId="77777777" w:rsidR="00C25599" w:rsidRDefault="00C25599" w:rsidP="00C25599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77777777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C77BB4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A7267F3" w14:textId="77777777" w:rsidR="00C25599" w:rsidRDefault="00C25599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551C238B" w14:textId="77777777" w:rsidR="00C25599" w:rsidRDefault="00C25599" w:rsidP="00CA569F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E9C57D2" w14:textId="52DE7944" w:rsidR="00C25599" w:rsidRDefault="00CA569F" w:rsidP="00525875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77D58872" w14:textId="77777777" w:rsidR="00CA569F" w:rsidRDefault="00CA569F" w:rsidP="00CA569F">
      <w:pPr>
        <w:ind w:left="2880"/>
        <w:jc w:val="both"/>
        <w:rPr>
          <w:rFonts w:ascii="Arial" w:hAnsi="Arial" w:cs="Arial"/>
          <w:sz w:val="18"/>
        </w:rPr>
      </w:pPr>
    </w:p>
    <w:p w14:paraId="3EE1CFAF" w14:textId="3BDF1280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7E92F7B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47CF89C1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7FE4858E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7CE48D9F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671A0279" w14:textId="36A290DA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792110DA" w14:textId="3B4BC9B4" w:rsidR="006471A1" w:rsidRPr="0055684C" w:rsidRDefault="006471A1" w:rsidP="004C28DE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b/>
          <w:bCs/>
          <w:i/>
          <w:sz w:val="18"/>
          <w:szCs w:val="16"/>
          <w:u w:val="single"/>
        </w:rPr>
      </w:pPr>
      <w:r w:rsidRPr="0055684C"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4F166ECB" w14:textId="1273A22B" w:rsidR="006471A1" w:rsidRPr="006471A1" w:rsidRDefault="006471A1" w:rsidP="006471A1">
      <w:pPr>
        <w:pStyle w:val="Prrafodelista"/>
        <w:ind w:left="360"/>
        <w:jc w:val="both"/>
        <w:rPr>
          <w:rFonts w:ascii="Arial" w:hAnsi="Arial" w:cs="Arial"/>
          <w:bCs/>
          <w:sz w:val="18"/>
          <w:szCs w:val="16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6E078B7D" w:rsidR="002D1109" w:rsidRPr="006622B8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7DBB29BA" w:rsidR="002D1109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525875">
      <w:pPr>
        <w:pStyle w:val="Textoindependiente"/>
        <w:numPr>
          <w:ilvl w:val="0"/>
          <w:numId w:val="46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3FBB4BB" w:rsidR="00525875" w:rsidRPr="00525875" w:rsidRDefault="00525875" w:rsidP="00525875">
      <w:pPr>
        <w:pStyle w:val="Textoindependiente"/>
        <w:spacing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4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</w:t>
      </w:r>
      <w:r w:rsidRPr="00525875">
        <w:rPr>
          <w:rFonts w:ascii="Arial" w:hAnsi="Arial" w:cs="Arial"/>
          <w:bCs/>
          <w:sz w:val="18"/>
          <w:szCs w:val="18"/>
        </w:rPr>
        <w:lastRenderedPageBreak/>
        <w:t xml:space="preserve">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77777777" w:rsidR="003553C8" w:rsidRPr="003553C8" w:rsidRDefault="003553C8" w:rsidP="003553C8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30F2D6BF" w14:textId="77777777" w:rsidR="003553C8" w:rsidRDefault="003553C8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553C8">
        <w:rPr>
          <w:rFonts w:ascii="Arial" w:hAnsi="Arial" w:cs="Arial"/>
          <w:sz w:val="18"/>
          <w:szCs w:val="18"/>
        </w:rPr>
        <w:t>Se suscribirá un contrato</w:t>
      </w:r>
      <w:r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>
        <w:rPr>
          <w:rFonts w:ascii="Arial" w:hAnsi="Arial" w:cs="Arial"/>
          <w:b/>
          <w:bCs/>
          <w:sz w:val="20"/>
          <w:szCs w:val="20"/>
        </w:rPr>
        <w:t>originales y fotocopias simples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A2382C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11BEB00" w14:textId="77777777" w:rsidR="00A2382C" w:rsidRDefault="00A2382C" w:rsidP="00A2382C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A2382C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A53E3CD" w14:textId="77777777" w:rsidR="00A2382C" w:rsidRDefault="00A2382C" w:rsidP="00A2382C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6F56F6CE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6471F2D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2183FDF5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5FB2562D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57A0E2B3" w14:textId="77777777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5225CB83" w14:textId="677FCC8C" w:rsidR="00A2382C" w:rsidRDefault="00A2382C" w:rsidP="00A2382C">
      <w:pPr>
        <w:numPr>
          <w:ilvl w:val="4"/>
          <w:numId w:val="4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2CD709CD" w14:textId="19DC7255" w:rsidR="006471A1" w:rsidRPr="006471A1" w:rsidRDefault="006471A1" w:rsidP="006471A1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9D21650" w14:textId="77777777" w:rsidR="006471A1" w:rsidRPr="006471A1" w:rsidRDefault="006471A1" w:rsidP="006471A1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bCs/>
          <w:sz w:val="18"/>
          <w:szCs w:val="16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010EE3AF" w14:textId="685F3801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CANCELACIÓN:</w:t>
      </w:r>
    </w:p>
    <w:p w14:paraId="54DB6652" w14:textId="31A6FACF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 las Hojas de Interconsulta y las tarjetas de control de asistencia debidamente firmadas por el paciente.</w:t>
      </w:r>
    </w:p>
    <w:p w14:paraId="716BC6FA" w14:textId="77777777" w:rsidR="00192A49" w:rsidRDefault="00192A49" w:rsidP="00192A49">
      <w:pPr>
        <w:pStyle w:val="Textoindependiente"/>
        <w:spacing w:before="12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4D8E8E9" w14:textId="5D1107F9" w:rsidR="00C5013A" w:rsidRDefault="00C5013A" w:rsidP="00C5013A">
      <w:pPr>
        <w:pStyle w:val="Textoindependiente"/>
        <w:numPr>
          <w:ilvl w:val="0"/>
          <w:numId w:val="3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RETENCIONES POR GARANTIA DE CUMPLIMIENTO DE SERVICIO:</w:t>
      </w:r>
    </w:p>
    <w:p w14:paraId="506C04B1" w14:textId="77777777" w:rsidR="00C5013A" w:rsidRPr="003732ED" w:rsidRDefault="00C5013A" w:rsidP="00C5013A">
      <w:pPr>
        <w:pStyle w:val="Textoindependiente"/>
        <w:spacing w:before="120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adjudicación la CSBP, la CSBP retendrá el 7% de cada pago mensual por concepto de GARANTIA DE CUMPLIMIENTO DEL SERVICIO. De tal manera que al cumplimiento de la vigencia del contrato y habiendo cumplido con el objeto del mismo, se procederá con su devolución previo informe de la Unidad Solicitante</w:t>
      </w:r>
      <w:r w:rsidRPr="003732ED">
        <w:rPr>
          <w:rFonts w:ascii="Arial" w:hAnsi="Arial" w:cs="Arial"/>
          <w:b/>
          <w:bCs/>
          <w:sz w:val="18"/>
          <w:szCs w:val="18"/>
        </w:rPr>
        <w:t>.</w:t>
      </w:r>
    </w:p>
    <w:p w14:paraId="5F9A5DAD" w14:textId="5D6EB458" w:rsidR="003732ED" w:rsidRPr="003732ED" w:rsidRDefault="003732ED" w:rsidP="003732ED">
      <w:pPr>
        <w:pStyle w:val="Textoindependiente"/>
        <w:numPr>
          <w:ilvl w:val="0"/>
          <w:numId w:val="36"/>
        </w:num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3732ED">
        <w:rPr>
          <w:rFonts w:ascii="Arial" w:hAnsi="Arial" w:cs="Arial"/>
          <w:b/>
          <w:bCs/>
          <w:sz w:val="18"/>
          <w:szCs w:val="18"/>
        </w:rPr>
        <w:t>CRONOGRAMA</w:t>
      </w:r>
    </w:p>
    <w:tbl>
      <w:tblPr>
        <w:tblpPr w:leftFromText="141" w:rightFromText="141" w:vertAnchor="text" w:horzAnchor="margin" w:tblpXSpec="right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40"/>
        <w:gridCol w:w="1276"/>
        <w:gridCol w:w="1134"/>
        <w:gridCol w:w="3822"/>
      </w:tblGrid>
      <w:tr w:rsidR="003732ED" w:rsidRPr="00F51142" w14:paraId="47A68F94" w14:textId="77777777" w:rsidTr="0055684C">
        <w:trPr>
          <w:trHeight w:val="20"/>
        </w:trPr>
        <w:tc>
          <w:tcPr>
            <w:tcW w:w="9634" w:type="dxa"/>
            <w:gridSpan w:val="5"/>
            <w:shd w:val="clear" w:color="auto" w:fill="D9D9D9"/>
            <w:vAlign w:val="center"/>
          </w:tcPr>
          <w:p w14:paraId="26B9F98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3732ED" w:rsidRPr="00F51142" w14:paraId="3FB12B34" w14:textId="77777777" w:rsidTr="0055684C">
        <w:trPr>
          <w:trHeight w:val="20"/>
        </w:trPr>
        <w:tc>
          <w:tcPr>
            <w:tcW w:w="562" w:type="dxa"/>
            <w:shd w:val="clear" w:color="auto" w:fill="D9D9D9"/>
            <w:vAlign w:val="center"/>
          </w:tcPr>
          <w:p w14:paraId="5BDEEAF1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840" w:type="dxa"/>
            <w:shd w:val="clear" w:color="auto" w:fill="D9D9D9"/>
            <w:vAlign w:val="center"/>
          </w:tcPr>
          <w:p w14:paraId="11E81903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144C6D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5C4BE3F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17C37020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732ED" w:rsidRPr="00F51142" w14:paraId="5048E4EB" w14:textId="77777777" w:rsidTr="0055684C">
        <w:trPr>
          <w:trHeight w:val="20"/>
        </w:trPr>
        <w:tc>
          <w:tcPr>
            <w:tcW w:w="562" w:type="dxa"/>
            <w:vAlign w:val="center"/>
          </w:tcPr>
          <w:p w14:paraId="0AD350D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40" w:type="dxa"/>
            <w:vAlign w:val="center"/>
          </w:tcPr>
          <w:p w14:paraId="67D137F9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05D2C90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  <w:p w14:paraId="718379BC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5BE210F0" w14:textId="4A3C95DD" w:rsidR="003732ED" w:rsidRPr="00F51142" w:rsidRDefault="0055684C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3732ED">
              <w:rPr>
                <w:rFonts w:asciiTheme="minorHAnsi" w:hAnsiTheme="minorHAnsi" w:cstheme="minorHAnsi"/>
              </w:rPr>
              <w:t>/11/2</w:t>
            </w:r>
            <w:r>
              <w:rPr>
                <w:rFonts w:asciiTheme="minorHAnsi" w:hAnsiTheme="minorHAnsi" w:cstheme="minorHAnsi"/>
              </w:rPr>
              <w:t>024</w:t>
            </w:r>
          </w:p>
          <w:p w14:paraId="0AB0B9E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BEF7A11" w14:textId="299AEF24" w:rsidR="003732ED" w:rsidRPr="00F51142" w:rsidRDefault="0055684C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</w:t>
            </w:r>
          </w:p>
        </w:tc>
        <w:tc>
          <w:tcPr>
            <w:tcW w:w="3822" w:type="dxa"/>
            <w:vAlign w:val="center"/>
          </w:tcPr>
          <w:p w14:paraId="5D2ADC0E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9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3732ED" w:rsidRPr="00F51142" w14:paraId="72B51CDE" w14:textId="77777777" w:rsidTr="0055684C">
        <w:trPr>
          <w:trHeight w:val="20"/>
        </w:trPr>
        <w:tc>
          <w:tcPr>
            <w:tcW w:w="562" w:type="dxa"/>
            <w:vAlign w:val="center"/>
          </w:tcPr>
          <w:p w14:paraId="1782F16D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2840" w:type="dxa"/>
            <w:vAlign w:val="center"/>
          </w:tcPr>
          <w:p w14:paraId="1574A536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276" w:type="dxa"/>
            <w:vAlign w:val="center"/>
          </w:tcPr>
          <w:p w14:paraId="36F2CE74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  <w:p w14:paraId="1BE6F6B5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6934AEF" w14:textId="528A9B8D" w:rsidR="003732ED" w:rsidRPr="00F51142" w:rsidRDefault="0055684C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18/11/2024</w:t>
            </w:r>
          </w:p>
          <w:p w14:paraId="5BAE69BF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D1BA3B2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3863BF4D" w14:textId="693372AA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5684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:00 a.m.</w:t>
            </w:r>
          </w:p>
        </w:tc>
        <w:tc>
          <w:tcPr>
            <w:tcW w:w="3822" w:type="dxa"/>
            <w:vAlign w:val="center"/>
          </w:tcPr>
          <w:p w14:paraId="65AECC6E" w14:textId="77777777" w:rsidR="003732ED" w:rsidRPr="00F51142" w:rsidRDefault="003732ED" w:rsidP="001C4448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7DE58188" w14:textId="77777777" w:rsidR="003732ED" w:rsidRDefault="003732ED" w:rsidP="001C4448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68A73BFC" w14:textId="77777777" w:rsidR="003732ED" w:rsidRPr="00E257D6" w:rsidRDefault="003732ED" w:rsidP="001C444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3732ED" w:rsidRPr="00552079" w14:paraId="50D54BFB" w14:textId="77777777" w:rsidTr="0055684C">
        <w:trPr>
          <w:trHeight w:val="20"/>
        </w:trPr>
        <w:tc>
          <w:tcPr>
            <w:tcW w:w="562" w:type="dxa"/>
            <w:vAlign w:val="center"/>
          </w:tcPr>
          <w:p w14:paraId="29216730" w14:textId="39D4C275" w:rsidR="003732ED" w:rsidRPr="00F51142" w:rsidRDefault="0055684C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40" w:type="dxa"/>
            <w:vAlign w:val="center"/>
          </w:tcPr>
          <w:p w14:paraId="01805DB4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2410" w:type="dxa"/>
            <w:gridSpan w:val="2"/>
            <w:vAlign w:val="center"/>
          </w:tcPr>
          <w:p w14:paraId="34977DE2" w14:textId="300D181E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18/11/202</w:t>
            </w:r>
            <w:r w:rsidR="0055684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2" w:type="dxa"/>
            <w:vAlign w:val="center"/>
          </w:tcPr>
          <w:p w14:paraId="32C5297C" w14:textId="77777777" w:rsidR="003732ED" w:rsidRPr="00F51142" w:rsidRDefault="003732ED" w:rsidP="001C444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 de adjudicación al proponente ganador.</w:t>
            </w:r>
          </w:p>
        </w:tc>
      </w:tr>
      <w:tr w:rsidR="0055684C" w:rsidRPr="00552079" w14:paraId="1BFC625B" w14:textId="77777777" w:rsidTr="0055684C">
        <w:trPr>
          <w:trHeight w:val="20"/>
        </w:trPr>
        <w:tc>
          <w:tcPr>
            <w:tcW w:w="562" w:type="dxa"/>
            <w:vAlign w:val="center"/>
          </w:tcPr>
          <w:p w14:paraId="40E76DAF" w14:textId="3920BAF6" w:rsidR="0055684C" w:rsidRDefault="0055684C" w:rsidP="005568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0" w:type="dxa"/>
            <w:vAlign w:val="center"/>
          </w:tcPr>
          <w:p w14:paraId="0967A3CD" w14:textId="37B136A0" w:rsidR="0055684C" w:rsidRPr="00F51142" w:rsidRDefault="0055684C" w:rsidP="0055684C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2410" w:type="dxa"/>
            <w:gridSpan w:val="2"/>
            <w:vAlign w:val="center"/>
          </w:tcPr>
          <w:p w14:paraId="68039F0D" w14:textId="3464FB20" w:rsidR="0055684C" w:rsidRDefault="0055684C" w:rsidP="005568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/11/202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2" w:type="dxa"/>
            <w:vAlign w:val="center"/>
          </w:tcPr>
          <w:p w14:paraId="6DF99CAC" w14:textId="4667939A" w:rsidR="0055684C" w:rsidRDefault="0055684C" w:rsidP="0055684C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 de adjudicación al proponente ganador.</w:t>
            </w:r>
          </w:p>
        </w:tc>
      </w:tr>
    </w:tbl>
    <w:p w14:paraId="3CC503B1" w14:textId="77777777" w:rsidR="003732ED" w:rsidRDefault="003732ED" w:rsidP="003732ED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1656CB" w14:textId="77777777" w:rsidR="003732ED" w:rsidRDefault="003732ED" w:rsidP="003732ED">
      <w:pPr>
        <w:pStyle w:val="Textoindependiente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0CFD4F" w14:textId="6D2B743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1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4B48E6D" w14:textId="77777777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5F63DE03" w:rsidR="003D27E7" w:rsidRP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742B23">
        <w:rPr>
          <w:rFonts w:ascii="Arial" w:hAnsi="Arial" w:cs="Arial"/>
          <w:b/>
          <w:bCs/>
          <w:sz w:val="18"/>
          <w:szCs w:val="18"/>
        </w:rPr>
        <w:t xml:space="preserve">NOVIEMBRE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</w:t>
      </w:r>
      <w:r w:rsidR="0055684C">
        <w:rPr>
          <w:rFonts w:ascii="Arial" w:hAnsi="Arial" w:cs="Arial"/>
          <w:b/>
          <w:bCs/>
          <w:sz w:val="18"/>
          <w:szCs w:val="18"/>
        </w:rPr>
        <w:t>4</w:t>
      </w:r>
    </w:p>
    <w:sectPr w:rsidR="003D27E7" w:rsidRPr="003D27E7" w:rsidSect="0055684C">
      <w:footerReference w:type="default" r:id="rId12"/>
      <w:headerReference w:type="first" r:id="rId13"/>
      <w:footerReference w:type="first" r:id="rId14"/>
      <w:pgSz w:w="12242" w:h="15842" w:code="1"/>
      <w:pgMar w:top="1560" w:right="1080" w:bottom="993" w:left="1080" w:header="1028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4DDC" w14:textId="77777777" w:rsidR="001222B7" w:rsidRDefault="001222B7" w:rsidP="001514BD">
      <w:r>
        <w:separator/>
      </w:r>
    </w:p>
  </w:endnote>
  <w:endnote w:type="continuationSeparator" w:id="0">
    <w:p w14:paraId="2CE87E1A" w14:textId="77777777" w:rsidR="001222B7" w:rsidRDefault="001222B7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FC54" w14:textId="77777777" w:rsidR="001222B7" w:rsidRDefault="001222B7" w:rsidP="001514BD">
      <w:r>
        <w:separator/>
      </w:r>
    </w:p>
  </w:footnote>
  <w:footnote w:type="continuationSeparator" w:id="0">
    <w:p w14:paraId="5A0706E2" w14:textId="77777777" w:rsidR="001222B7" w:rsidRDefault="001222B7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F04F" w14:textId="72075D34" w:rsidR="00763424" w:rsidRDefault="0076342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54D20" wp14:editId="013BD8AE">
          <wp:simplePos x="0" y="0"/>
          <wp:positionH relativeFrom="column">
            <wp:posOffset>-161925</wp:posOffset>
          </wp:positionH>
          <wp:positionV relativeFrom="paragraph">
            <wp:posOffset>-462280</wp:posOffset>
          </wp:positionV>
          <wp:extent cx="1838325" cy="724425"/>
          <wp:effectExtent l="0" t="0" r="0" b="0"/>
          <wp:wrapNone/>
          <wp:docPr id="1132" name="Imagen 5">
            <a:extLst xmlns:a="http://schemas.openxmlformats.org/drawingml/2006/main">
              <a:ext uri="{FF2B5EF4-FFF2-40B4-BE49-F238E27FC236}">
                <a16:creationId xmlns:a16="http://schemas.microsoft.com/office/drawing/2014/main" id="{803F8D87-E55C-1B96-B094-60D4AD7DE1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" name="Imagen 5">
                    <a:extLst>
                      <a:ext uri="{FF2B5EF4-FFF2-40B4-BE49-F238E27FC236}">
                        <a16:creationId xmlns:a16="http://schemas.microsoft.com/office/drawing/2014/main" id="{803F8D87-E55C-1B96-B094-60D4AD7DE16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040" cy="72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14" w15:restartNumberingAfterBreak="0">
    <w:nsid w:val="27D004DB"/>
    <w:multiLevelType w:val="multilevel"/>
    <w:tmpl w:val="D238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3065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5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9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302"/>
    <w:multiLevelType w:val="hybridMultilevel"/>
    <w:tmpl w:val="34A4CBC6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9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66650C"/>
    <w:multiLevelType w:val="hybridMultilevel"/>
    <w:tmpl w:val="01DEF6A6"/>
    <w:lvl w:ilvl="0" w:tplc="E1147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54210708">
    <w:abstractNumId w:val="0"/>
  </w:num>
  <w:num w:numId="2" w16cid:durableId="1602838760">
    <w:abstractNumId w:val="2"/>
  </w:num>
  <w:num w:numId="3" w16cid:durableId="974339343">
    <w:abstractNumId w:val="17"/>
  </w:num>
  <w:num w:numId="4" w16cid:durableId="1642613884">
    <w:abstractNumId w:val="12"/>
  </w:num>
  <w:num w:numId="5" w16cid:durableId="1840459707">
    <w:abstractNumId w:val="15"/>
  </w:num>
  <w:num w:numId="6" w16cid:durableId="1953778064">
    <w:abstractNumId w:val="36"/>
  </w:num>
  <w:num w:numId="7" w16cid:durableId="1443645444">
    <w:abstractNumId w:val="7"/>
  </w:num>
  <w:num w:numId="8" w16cid:durableId="124279149">
    <w:abstractNumId w:val="27"/>
  </w:num>
  <w:num w:numId="9" w16cid:durableId="1398285175">
    <w:abstractNumId w:val="34"/>
  </w:num>
  <w:num w:numId="10" w16cid:durableId="409153970">
    <w:abstractNumId w:val="10"/>
  </w:num>
  <w:num w:numId="11" w16cid:durableId="2103408691">
    <w:abstractNumId w:val="9"/>
  </w:num>
  <w:num w:numId="12" w16cid:durableId="1984701669">
    <w:abstractNumId w:val="5"/>
  </w:num>
  <w:num w:numId="13" w16cid:durableId="1775638445">
    <w:abstractNumId w:val="23"/>
  </w:num>
  <w:num w:numId="14" w16cid:durableId="1157189636">
    <w:abstractNumId w:val="24"/>
  </w:num>
  <w:num w:numId="15" w16cid:durableId="1899507680">
    <w:abstractNumId w:val="3"/>
  </w:num>
  <w:num w:numId="16" w16cid:durableId="747381411">
    <w:abstractNumId w:val="38"/>
  </w:num>
  <w:num w:numId="17" w16cid:durableId="1458836859">
    <w:abstractNumId w:val="21"/>
  </w:num>
  <w:num w:numId="18" w16cid:durableId="1721055427">
    <w:abstractNumId w:val="33"/>
  </w:num>
  <w:num w:numId="19" w16cid:durableId="1283147901">
    <w:abstractNumId w:val="6"/>
  </w:num>
  <w:num w:numId="20" w16cid:durableId="765227526">
    <w:abstractNumId w:val="8"/>
  </w:num>
  <w:num w:numId="21" w16cid:durableId="2070684163">
    <w:abstractNumId w:val="18"/>
  </w:num>
  <w:num w:numId="22" w16cid:durableId="592975862">
    <w:abstractNumId w:val="22"/>
  </w:num>
  <w:num w:numId="23" w16cid:durableId="82184950">
    <w:abstractNumId w:val="39"/>
  </w:num>
  <w:num w:numId="24" w16cid:durableId="1498691557">
    <w:abstractNumId w:val="40"/>
  </w:num>
  <w:num w:numId="25" w16cid:durableId="627249251">
    <w:abstractNumId w:val="29"/>
  </w:num>
  <w:num w:numId="26" w16cid:durableId="1625233537">
    <w:abstractNumId w:val="37"/>
  </w:num>
  <w:num w:numId="27" w16cid:durableId="810757655">
    <w:abstractNumId w:val="11"/>
  </w:num>
  <w:num w:numId="28" w16cid:durableId="1056122128">
    <w:abstractNumId w:val="41"/>
  </w:num>
  <w:num w:numId="29" w16cid:durableId="2121417208">
    <w:abstractNumId w:val="20"/>
  </w:num>
  <w:num w:numId="30" w16cid:durableId="1607543137">
    <w:abstractNumId w:val="26"/>
  </w:num>
  <w:num w:numId="31" w16cid:durableId="1245603958">
    <w:abstractNumId w:val="39"/>
  </w:num>
  <w:num w:numId="32" w16cid:durableId="83769758">
    <w:abstractNumId w:val="29"/>
  </w:num>
  <w:num w:numId="33" w16cid:durableId="1002666130">
    <w:abstractNumId w:val="28"/>
  </w:num>
  <w:num w:numId="34" w16cid:durableId="1982615743">
    <w:abstractNumId w:val="19"/>
  </w:num>
  <w:num w:numId="35" w16cid:durableId="1836453888">
    <w:abstractNumId w:val="35"/>
  </w:num>
  <w:num w:numId="36" w16cid:durableId="1555778049">
    <w:abstractNumId w:val="13"/>
  </w:num>
  <w:num w:numId="37" w16cid:durableId="1363246226">
    <w:abstractNumId w:val="31"/>
  </w:num>
  <w:num w:numId="38" w16cid:durableId="1310600456">
    <w:abstractNumId w:val="42"/>
  </w:num>
  <w:num w:numId="39" w16cid:durableId="2058579568">
    <w:abstractNumId w:val="16"/>
  </w:num>
  <w:num w:numId="40" w16cid:durableId="1392651407">
    <w:abstractNumId w:val="4"/>
  </w:num>
  <w:num w:numId="41" w16cid:durableId="1194197232">
    <w:abstractNumId w:val="32"/>
  </w:num>
  <w:num w:numId="42" w16cid:durableId="173292422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2977433">
    <w:abstractNumId w:val="25"/>
  </w:num>
  <w:num w:numId="44" w16cid:durableId="678431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3598116">
    <w:abstractNumId w:val="1"/>
  </w:num>
  <w:num w:numId="46" w16cid:durableId="17089917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2B7"/>
    <w:rsid w:val="00122F57"/>
    <w:rsid w:val="001251F5"/>
    <w:rsid w:val="00126502"/>
    <w:rsid w:val="00127B87"/>
    <w:rsid w:val="00130764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7A38"/>
    <w:rsid w:val="001823A9"/>
    <w:rsid w:val="00187CB5"/>
    <w:rsid w:val="00192A49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65365"/>
    <w:rsid w:val="0026567D"/>
    <w:rsid w:val="00273569"/>
    <w:rsid w:val="0027360E"/>
    <w:rsid w:val="002820EE"/>
    <w:rsid w:val="0028318D"/>
    <w:rsid w:val="00287E6D"/>
    <w:rsid w:val="0029509D"/>
    <w:rsid w:val="002965AE"/>
    <w:rsid w:val="002C6609"/>
    <w:rsid w:val="002D0245"/>
    <w:rsid w:val="002D1109"/>
    <w:rsid w:val="002D2D5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32ED"/>
    <w:rsid w:val="00376420"/>
    <w:rsid w:val="00391807"/>
    <w:rsid w:val="00391A88"/>
    <w:rsid w:val="003A0C9B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20FF8"/>
    <w:rsid w:val="00525875"/>
    <w:rsid w:val="00533CFD"/>
    <w:rsid w:val="00534235"/>
    <w:rsid w:val="00544BAF"/>
    <w:rsid w:val="0054638E"/>
    <w:rsid w:val="0055684C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471A1"/>
    <w:rsid w:val="00655525"/>
    <w:rsid w:val="00655D56"/>
    <w:rsid w:val="00657034"/>
    <w:rsid w:val="0066000E"/>
    <w:rsid w:val="006601CC"/>
    <w:rsid w:val="00660AE9"/>
    <w:rsid w:val="0066519C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61106"/>
    <w:rsid w:val="0076123E"/>
    <w:rsid w:val="00763424"/>
    <w:rsid w:val="007653B2"/>
    <w:rsid w:val="00765F02"/>
    <w:rsid w:val="00770398"/>
    <w:rsid w:val="007751CA"/>
    <w:rsid w:val="00777C5B"/>
    <w:rsid w:val="00781323"/>
    <w:rsid w:val="00782709"/>
    <w:rsid w:val="00791897"/>
    <w:rsid w:val="007939AB"/>
    <w:rsid w:val="00794F7F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E5705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1F88"/>
    <w:rsid w:val="00BB61E7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7E3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365A5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2CE6"/>
    <w:rsid w:val="00E257D6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chabamba.csbp.com.bo/blog/adquisiciones-cochabamba-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quisicionescsbpcbba@csbp.com.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sbp.com.bo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95D6-6828-4072-AFE7-084279F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1576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12</cp:revision>
  <cp:lastPrinted>2024-11-13T14:31:00Z</cp:lastPrinted>
  <dcterms:created xsi:type="dcterms:W3CDTF">2022-11-07T15:38:00Z</dcterms:created>
  <dcterms:modified xsi:type="dcterms:W3CDTF">2024-11-13T14:31:00Z</dcterms:modified>
</cp:coreProperties>
</file>